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2008/16 vom 18. Mai 2009</w:t>
      </w:r>
    </w:p>
    <w:p>
      <w:r>
        <w:t>Sg Versicherungsgericht, 2009-05-18, DE</w:t>
      </w:r>
    </w:p>
    <w:p>
      <w:r>
        <w:rPr>
          <w:b/>
        </w:rPr>
        <w:t xml:space="preserve">Quelle: </w:t>
      </w:r>
      <w:r>
        <w:t>https://mcp.opencaselaw.ch/entscheid/sg_publikationen_BV 2008_16</w:t>
      </w:r>
    </w:p>
    <w:p>
      <w:r>
        <w:t>FR: SG_VERSICHERUNGSGERICHT BV 2008/16 du 18 mai 2009</w:t>
      </w:r>
    </w:p>
    <w:p>
      <w:r>
        <w:t>IT: SG_VERSICHERUNGSGERICHT BV 2008/16 del 18 maggio 2009</w:t>
      </w:r>
    </w:p>
    <w:p>
      <w:pPr>
        <w:pStyle w:val="Heading2"/>
      </w:pPr>
      <w:r>
        <w:t>Regeste</w:t>
      </w:r>
    </w:p>
    <w:p>
      <w:r>
        <w:t>Art. 23 BVG. Beginn der Arbeitsunfähigkeit, deren Ursache zur Invalidität geführt hat. Treten psychische Auffälligkeiten mit Krankheitswert und Auswirkungen auf das Leistungsvermögen der versicherten Person erst nach Beendigung eines Vorsorgeverhältnisses erkennbar in Erscheinung, ist eine sachliche Konnexität zur Arbeitsunfähigkeit, welche während des Vorsorgeverhältnisses eingetreten ist, zu verneinen (Entscheid des Versicherungsgerichts des Kantons St. Gallen vom 18. Mai 2009, BV 2008/16).</w:t>
      </w:r>
    </w:p>
    <w:p>
      <w:pPr>
        <w:pStyle w:val="Heading2"/>
      </w:pPr>
      <w:r>
        <w:t>Erwägungen</w:t>
      </w:r>
    </w:p>
    <w:p>
      <w:r>
        <w:rPr>
          <w:b/>
        </w:rPr>
        <w:t>E. 1</w:t>
      </w:r>
    </w:p>
    <w:p>
      <w:r>
        <w:t>1.1    Streitig ist, ob die Beklagte dem Kläger für die Zeit ab 1. Dezember 2003 Invalidenleistungen auszurichten hat. Gemäss Art. 23 des Bundesgesetzes über die berufliche Alters-, Hinterlassenen- und Invalidenvorsorge (BVG; SR 831.40) in der bis 31. Dezember 2004 in Kraft gewesenen Fassung haben Personen Anspruch auf Invalidenleistungen, die im Sinn der Invalidenversicherung zu mindestens 50 % invalid sind und bei Eintritt der Arbeitsunfähigkeit, deren Ursache zur Invalidität geführt hat, versichert waren. Laut dem am 1. Januar 2005 in Kraft getretenen Art. 23 lit. a BVG besteht bereits bei einer Invalidität von mindestens 40 % Anspruch auf Invaliditätsleistungen. - In zeitlicher Hinsicht sind grundsätzlich diejenigen Rechtssätze massgebend, die bei der Erfüllung des zu Rechtsfolgen führenden Tatbestands Geltung haben (BGE 127 V 467; vorliegend: Anspruch auf eine ganze Invalidenrente ab 1. Dezember 2003). Ferner stellt das Versicherungsgericht bei der Fallbeurteilung grundsätzlich auf den bis zum Zeitpunkt des Erlasses des angefochtenen Entscheids eingetretenen Sachverhalt ab (BGE 121 V 366; RKUV 2001 S. 101). Das Klageverfahren, welchem kein vorinstanzlicher Entscheid zugrunde liegt, betrifft Leistungsansprüche ab 1. Dezember 2003. Mit Blick auf diese Gegebenheiten ist konkret das bis 31. Dezember 2004 gültig gewesene Recht der obligatorischen beruflichen Vorsorge anzuwenden, soweit ihm neben den reglementarischen Regelungen der Beklagten eine eigenständige Bedeutung zukommt. 1.2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 Grund von Art. 6 BVG steht es den Vorsorgeeinrichtungen frei, den Invaliditätsbegriff bereits in der obligatorischen Versicherung zu Gunsten des Versicherten zu erweitern oder Invalidenrenten schon bei einem Invaliditätsgrad von weniger als 50 %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BGE 115 V 208 und 215; BGE 118 V 35 E. 2b/aa; BGE 120 V 106 E. 3c). Gemäss Art. 5 Abs. 1 des Vorsorgereglements der Pensionskasse gilt ein Versicherter (nach Art. 1 des Reglements: alle in die Pensionskasse aufgenommenen Mitarbeiterinnen und Mitarbeiter) als invalid, wenn er aus gesundheitlichen Gründen (Unfall, Krankheit, Altersschwäche oder Gebrechen) seine bisherige oder eine andere ihm zumutbare Tätigkeit nicht mehr ausüben kann, und deshalb vor Erreichen des Rücktrittsalters sein Arbeitsverhältnis aufgelöst oder dadurch sein Lohn herabgesetzt wird. Da dieser Invaliditätsbegriff nach Abs. 1 nicht alle erforderlichen Parameter der nach Art. 8 Abs. 1 des Bundesgesetzes über den Allgemeinen Teil des Sozialversicherungsrechts (ATSG; SR 830.1) definierten Invalidität abdeckt, ist ihm keine eigenständige Bedeutung beizumessen. Nach Abs. 2 des Reglements ist schliesslich für die Anerkennung der Erwerbsunfähigkeit und die Festlegung des Invaliditätsgrads der Entscheid der Eidgenössischen Invalidenversicherung massgebend. Somit hat die Pensionskasse auf den Entscheid der Invalidenversicherung abzustellen. Ein IV-Entscheid ist demzufolge mit Bezug auf den Invaliditätsgrad und den Rentenbeginn, und damit für die Frage des Eintritts der massgebenden Arbeitsunfähigkeit, für die Beklagte grundsätzlich bindend (vgl. z.B. BGE 120 V 106 E. 3c mit Hinweisen). Ausserdem hat sich die Beklagte zu dem von der IV-Stelle mit Verfügung vom 1. Februar 2007 festgesetzten Invaliditätsgrad von 86 % nicht geäussert. Streitig ist vorliegend somit, ob die Arbeitsunfähigkeit, deren Ursache zur Invalidität geführt hat, zu einem Zeitpunkt eingetreten ist, als der Kläger der Vorsorgeeinrichtung der Beklagten angehörte, und ob diese somit zur Ausrichtung einer Invalidenrente verpflichtet ist.</w:t>
      </w:r>
    </w:p>
    <w:p>
      <w:r>
        <w:rPr>
          <w:b/>
        </w:rPr>
        <w:t>E. 2</w:t>
      </w:r>
    </w:p>
    <w:p>
      <w:r>
        <w:t>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Unter einer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 beträgt (vgl. Isabelle Vetter-Schreiber, Berufliche Vorsorge, Zürich 2005, S. 89 mit Hinweisen auf die höchstrichterliche Rechtsprechung).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 2b/aa; BGE 120 V 112 E.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Sodann wird in zeitlicher Hinsicht verlangt, dass die versicherte Person nach Eintritt der Arbeitsunfähigkeit nicht während längerer Zeit wieder arbeitsfähig geworden ist. Die frühere Vorsorgeeinrichtung muss nicht für Rückfälle und Spätfolgen einer Krankheit einstehen, die erst Jahre nach Wiedererlangung der vollen Arbeitsfähigkeit eintreten (BGE 123 V 265 E. 1c).</w:t>
      </w:r>
    </w:p>
    <w:p>
      <w:r>
        <w:rPr>
          <w:b/>
        </w:rPr>
        <w:t>E. 3</w:t>
      </w:r>
    </w:p>
    <w:p>
      <w:r>
        <w:t>Vorliegend ist der erforderliche zeitliche Zusammenhang zwischen der Arbeitsunfähigkeit, die während des Vorsorgeverhältnisses eintrat, und der späteren Invalidität ohne Weiteres gegeben, da der Kläger seit dem Unfall vom 15. Dezember 2002 nie mehr voll arbeitsfähig war.</w:t>
      </w:r>
    </w:p>
    <w:p>
      <w:r>
        <w:rPr>
          <w:b/>
        </w:rPr>
        <w:t>E. 4</w:t>
      </w:r>
    </w:p>
    <w:p>
      <w:r>
        <w:t>4.1    Zu prüfen bleibt damit der sachliche Zusammenhang. Dazu ist der während der Versicherungsdauer bestehende, für den Eintritt der anfänglichen Arbeitsunfähigkeit verantwortliche Gesundheitszustand mit dem Krankheitsbild zu vergleichen, das später zur Zusprechung einer Rente der Invalidenversicherung geführt hat. 4.2     Nach der bundesgerichtlichen Rechtsprechung ist der sachliche Konnex zu bejahen, wenn der Gesundheitsschaden, der zur Arbeitsunfähigkeit geführt hat, von der Art her im Wesentlichen derselbe ist, der der Erwerbsunfähigkeit zugrunde liegt (BGE 134 V 20 E. 3.2). Unter anderem im Urteil vom 29. Januar 2007 i/S K. (B 46/06) hielt das Bundesgericht fest, der sachliche Zusammenhang könne auch gegeben sein, wenn die bei noch bestehender Versicherungsdeckung eingetretene Arbeitsunfähigkeit somatisch, die Anspruch auf eine Rente der IV begründende, allenfalls auch berufsvorsorgerechtliche Leistungen auslösende Invalidität jedoch psychisch bedingt sei. Notwendige, aber nicht hinreichende Bedingung hierfür sei, dass das psychische Leiden sich schon während des Vorsorgeverhältnisses manifestiert und das Krankheitsgeschehen erkennbar mitgeprägt habe. Dabei verwies das Bundesgericht auf den Entscheid des Eidgenössischen Versicherungsgerichts (EVG; seit 1. Januar 2007: Sozialrechtliche Abteilungen des Bundesgerichts) vom 22. September 2006 i/S G. (B 32/03, recte: B 37/06; vgl. erwähntes Urteil B 46/06 E. 3.3). In einem neueren Urteil erkannte das Bundesgericht sodann, dass ein psychisches Leiden mit Krankheitswert und Auswirkungen auf das Leistungsvermögen während des streitigen Vorsorgeverhältnisses erkennbar in Erscheinung getreten sein müsse (vgl. dazu Urteil des Bundesgerichts vom 26. Februar 2008 i/S J. [9C_772/2007] E. 4.2). Von dieser Rechtsprechung ist nachstehend auszugehen. 4.3    Der Nachweis des Eintritts einer berufsvorsorgerechtlich relevanten Arbeitsunfähigkeit hat mit dem im Sozialversicherungsrecht üblichen Beweisgrad der überwiegenden Wahrscheinlichkeit zu erfolgen (SZS 2003, 438).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begründet sind. Ausschlaggebend für den Beweiswert ist somit grundsätzlich weder die Herkunft eines Beweismittels noch die Bezeichnung der eingereichten oder in Auftrag gegebenen Stellungnahme als Bericht oder Gutachten (BGE 125 V 351 E. 3b).</w:t>
      </w:r>
    </w:p>
    <w:p>
      <w:r>
        <w:rPr>
          <w:b/>
        </w:rPr>
        <w:t>E. 5</w:t>
      </w:r>
    </w:p>
    <w:p>
      <w:r>
        <w:t>5.1    Nach Art. 10 Abs. 1 und Abs. 2 lit. b BVG beginnt die obligatorische Versicherung mit dem Antritt des Arbeitsverhältnisses und die Versicherungspflicht endet, wenn das Arbeitsverhältnis aufgelöst wird. Für die Risiken Tod und Invalidität bleiben die Arbeitnehmer während eines Monats nach Auflösung des Vorsorgeverhältnisses bei der Vorsorgeeinrichtung versichert (Art. 10 Abs. 3 BVG). Der Kläger war unbestrittenermassen seit dem 1. Juli 2001 durch die Pensionskasse vorsorgeversichert. Ob allenfalls eine frühere Aufnahme in die Vorsorgeeinrichtung hätte erfolgen müssen, ist nicht Gegen­stand dieses Verfahrens und kann hier offen gelassen werden. Nachdem die Arbeitgeberin dem Kläger das Arbeitsverhältnis per 31. Mai 2003 gekündigt hatte, blieb er unter Berücksichtigung der Nachdeckung bis am 30. Juni 2003 im Vorsorgewerk risikoversichert. 5.2    Auf Grund der Erkenntnisse der psychiatrischen Begutachtung durch Dr. J.___ sprach die IV-Stelle St. Gallen dem Kläger gestützt auf einen IV-Grad von 86 % eine volle IV-Rente zu. Für den Beginn der einjährigen, ohne wesentlichen Unterbruch andauernden Arbeitsunfähigkeit (Art. 29 Abs. 1 lit. b des Bundesgesetzes über die Invalidenversicherung [IVG; SR 831.20]; Beginn des Wartejahrs) wurde auf den 15. Dezember 2002 abgestellt. Die IV-Stelle stützte sich dabei auf die im UV-Verfahren ab Unfalldatum attestierte Arbeitsunfähigkeit von 100 % (IV-act. 159 und 162), welche zunächst auf somatischen Leiden beruhte (vgl. Suva-act. 5). Der Rentenbeginn wurde auf den 1. Dezember 2003 festgelegt. Im psychiatrischen Gutachten vom 12. Juli 2006 hielt Dr. J.___ gestützt auf die bisherigen medizinischen Akten fest, dass die Beschwerden in der Halswirbelsäule bei Status nach Traumen 1996 und 2002 keine Auswirkungen mehr auf die Arbeitsfähigkeit hätten (vgl. IV-act. 142, S. 19, Ziff. 5.2). Nachdem somit ausschliesslich psychische Störungen die Ausrichtung einer Rente begründet haben, gilt es bezüglich der sachlichen Konnexität festzustellen, ob zwischen dem Gesundheitsschaden, der während des Vorsorgeverhältnisses mit der Beklagten eine Arbeitsunfähigkeit bewirkt hat, und dem zur Invalidität führenden psychischen Leiden ein enger sachlicher Konnex besteht.</w:t>
      </w:r>
    </w:p>
    <w:p>
      <w:r>
        <w:rPr>
          <w:b/>
        </w:rPr>
        <w:t>E. 6</w:t>
      </w:r>
    </w:p>
    <w:p>
      <w:r>
        <w:t>6.1    Gemäss den Angaben von Dr. B.___ vom 16. Mai 2003 (Suva-act. 10) standen bei den ersten beiden Konsultationen des Klägers nach dem Unfall Prellungen und Schürfungen im Vordergrund. Am 8. Januar 2003 hielt die behandelnde Ärztin in der Krankengeschichte fest, dass der Kläger auch über Kopf- und Nackenschmerzen sowie ein Augenflimmern geklagt habe. Während eines Gesprächs mit der zuständigen Suva Case Managerin am 15. April 2003 beschrieb der Kläger "wahnsinnige Schmerzen in den Augen", so als ob jemand von Hinten in seine Augen drücken würde. Die Kopf- und Augenbeschwerden habe er nach wie vor, zudem verspüre er teilweise auch Schwindel und sei viel vergesslicher als vor dem Unfall. Schliesslich würde er manchmal immer noch die Ecken des Brunnens vom Aufprall sehen und habe daher auch Mühe, Ecken wie beispielsweise diejenigen des PCs anzuschauen (Suva-act. 4). Diese "Eckenphobie" machte er wiederum während eines Gesprächs Mitte Juli 2003 geltend. Hingegen gab er zu jenem Zeitpunkt an, dass die Kopf- und Nackenschmerzen um einiges besser geworden seien (Suva-act. 27). Im ärztlichen Zwischenbericht vom 6. August 2003 hielt Dr. B.___ jedoch erneut keine wesentliche Besserung der Beschwerden fest. Sie beschrieb, dass den Kläger v.a. die starken Augenschmerzen sowie die zeitweise auftretenden Konzentrationsstörungen beeinträchtigen würden. Nach ihrer Einschätzung waren am ehesten chronische Nacken- und Kopfschmerzen bei geringer Belastung als bleibender Nachteil zu erwarten. 6.2    Am 25. August 2003 erwähnte der Kläger eine massive Verschlechterung seiner Augen- und Kopfbeschwerden, indem das Augenstechen kaum auszuhalten sei und er unter ständigen Kopfschmerzen leiden würde (Suva-act. 32). Im Rehabilitationsaufenthalt in der Klinik Valens ab dem 15. September 2003 sollte durch umfassende Untersuchungen die körperliche Leistungsfähigkeit erörtert werden (Suva-act. 36). Nachdem sich der Kläger jedoch vom Stellvertreter seiner Hausärztin für die Tests zur EFL hatte abmelden lassen und sich geweigert hatte, die vom medizinischen Personal empfohlenen Aktivitäten auszuführen, wurde die Therapie am 26. September 2003 abgebrochen (vgl. Austrittsbericht des stationären Aufenthalts vom 1. Oktober 2003, Suva-act. 38). Die schliesslich am 13. und 14. November 2003 auf Zuweisung durch Dr. H.___ in der Praxis für ambulante Rehabilitation und Training (part), Amriswil, durchgeführte EFL ergab, dass das arbeitsbezogene relevante Problem eine allgemein deutlich reduzierte Belastbarkeit sei, welche auf Grund der klinischen Befunde aber nicht erklärt werden könne (Suva-act. 55). Gemäss dem Bericht von Dr. H.___ vom 17. Dezember 2003 war der Test durch eine ausgeprägte Selbstlimitierung charakterisiert. Es bestanden Inkonsistenzen und eine absolut mangelhafte Leistungsbereitschaft (Suva-act. 54). 6.3    Die Möglichkeit des Vorhandenseins psychischer Störungen wurde erstmals im Bericht vom 23. Juni 2003 über die klinisch-neurologischen Abklärungen vom 27. Januar und 4. Februar 2003 von Dr. E.___ angedeutet. Dieser machte aber lediglich auf Hinweise für eine leichte, regrediente und für die weitere Prognose wahrscheinlich nicht relevante posttraumatische Belastungsstörung (PTSD) aufmerksam. Gemäss Internationaler Statistischer Klassifikation der Krankheiten und verwandter Gesundheitsprobleme entsteht eine posttraumatische Belastungsstörung (ICD 10 F43.1) als eine verzögerte oder protrahierte Reaktion auf ein belastendes Ereignis oder eine Situation kürzerer oder längerer Dauer, mit aussergewöhnlicher Bedrohung oder katastrophenartigem Ausmass, die bei fast jedem eine tiefe Verzweiflung hervorrufen würde. Prädisponierende Faktoren wie bestimmte, z.B. zwanghafte oder asthenische Persönlichkeitszüge oder neurotische Erkrankungen in der Vorgeschichte können die Schwelle für die Entwicklung dieses Syndroms senken und seinen Verlauf erschweren, aber die letztgenannten Faktoren sind weder notwendig noch ausreichend, um das Auftreten der Störung zu erklären (Weltgesundheitsorganisation - Taschenführer zur ICD-10-Klassifikation psychischer Störungen, H. Dilling und H.J. Freyberger (Hrsg.), 4. Aufl. Bern 2008, S. 173). Da es sich auf Grund des Unfallhergangs beim Unfallereignis vom 15. Dezember 2002 offensichtlich lediglich um eines von höchstens mittlerer Schwere handelte, kann bereits definitionsgemäss nicht von einer posttraumatischen Belastungsstörung ausgegangen werden. Dr. B.___ vermerkte sodann erst im Zeugnis vom 24. Oktober 2004, dass sie den Kläger zur psychiatrischen Beurteilung bei Dr. I.___ angemeldet habe (Suva-act. 45). Auch Dr. H.___ wies im Bericht vom 17. Dezember 2003 schliesslich auf eine Unsicherheit über das Vorliegen einer schwerwiegenden psychiatrischen Störung hin und empfahl deshalb eine psychiatrische und psychotherapeutische Abklärung. 6.4    Dr. I.___, welcher den Kläger ab dem 17. November 2003 behandelte, hielt im Bericht vom 24. Juli 2004 auf Anfrage der IV-Stelle fest, dass der Kläger seit September 2003 zu 100 % arbeitsunfähig sei. Als für die Arbeitsunfähigkeit verantwortliche Diagnosen befand er psychogene Augenschmerzen und Sehstörungen (ICD-10 F45.8) seit Dezember 2002 sowie eine narzisstische und histrionische Persönlichkeitsstörung (ICD-10 F61.0), wahrscheinlich habituell, welche seit September 2003 dekompensiert und exacerbiert sei. Das Gutachten von Dr. J.___ vom 12. Juli 2006 äussert sich demgegenüber nicht zum Beginn der relevanten Arbeitsunfähigkeit. Dr. J.___ schloss sich jedoch weitgehend dem Bericht von Dr. I.___ vom Juli 2004 an und stützte sich dabei explizit auf die Aussagen zur weiterhin zumutbaren Tätigkeit in dem Sinn, dass das neurotisch bedingte unbewusste Schmerzgebaren weitgehend jede sinnvolle Tätigkeit verunmögliche. Zumutbar scheine die bisherige Tätigkeit, aber der Kläger könne so einem Arbeitgeber oder einem Team nicht zugemutet werden, dies aus Gründen der neurotischen Symptomatik und der Persönlichkeitsstörung… Auf Grund der Beurteilung von Dr. I.___ ist die Dekompensation und Exacerbation der psychischen Störungen somit frühestens auf September 2003 und damit nach Beendigung des Vorsorgeverhältnisses mit der Beklagten anzusetzen. Im September 2003 befand sich der Kläger zur Rehabilitation in Valens. Während dieses Aufenthalts hatte er erstmals beobachtbar bereits beim Aufnahmegespräch mit dem linken Index (Zeigefinger) in den linken Augenwinkel gedrückt (vgl. Zusammenfassung der Krankengeschichte vom 1. Oktober 2003, Suva-act. 38) und demonstrative Zuckungen im Hals-, Augen- und Armbereich gezeigt (vgl. Austrittsbericht über den stationären Aufenthalt vom 1. Oktober 2003, Suva-act. 38). Seine Selbstlimitierung und das gesamte Verhalten, welches schliesslich zum Abbruch des Aufenthalts in Valens führte, können insgesamt als Beginn der Überbordung seiner psychischen Leiden betrachtet werden. Auch der Bericht des psychosomatischen Diensts der Klinik Valens vom 7. Oktober 2003, welcher noch davon ausging, dass die seelischen Reaktionen des Klägers in Anbetracht der psychosozialen Belastungssituation normalpsychologisch verständlich seien und keinen psychopathologischen Krankheitswert aufweisen würden, steht dieser Einschätzung grundsätzlich nicht entgegen. Erst auf Grund des bleibenden schlechten psychischen Zustands des Klägers konnten Dr. I.___ und Dr. J.___ durch die nachfolgenden psychiatrischen Untersuchungen zum Schluss kommen, dass die bis anhin wohl bereits bestehende, aber kompensierte Persönlichkeitsstörung ab September 2003 beim Kläger in den Vordergrund gerückt war. Anderslautende Feststellungen bzw. eine frühere Ansetzung der zur Leistungseinschränkung führenden psychischen Störungen sind den Akten nicht zu entnehmen. Namentlich die geltend gemachte "Eckenphobie" sowie das Schmerzempfinden betreffend Augen und Nacken bilden keine mit dem Beweisgrad der überwiegenden Wahrscheinlichkeit erwiesenen Anhaltspunkte einer bereits während des Vorsorgeverhältnisses eingetretenen psychischen Symptomatik von massgebender Erheblichkeit. Somit ist darauf abzustellen, dass die Arbeitsunfähigkeit während des Vorsorgeverhältnisses nicht als eigenständiges psychisches Problem in Erscheinung trat, weshalb der sachliche Zusammenhang zu verneinen ist. 6.5    Zusammenfassend ist demnach davon auszugehen, dass sich das psychische Krankheitsbild, welches zur Invalidität führte, nicht bereits während der Zugehörigkeit zur Vorsorgeeinrichtung manifestiert hat. Damit ist der enge sachliche Zusammenhang zwischen dem während dem Vorsorgeverhältnis des Klägers mit der Beklagten eingetretenen Gesundheitsschaden und der zur Invalidität führenden Arbeitsunfähigkeit zu verneinen, weshalb die Beklagte nicht zur Erbringung von Invaliditätsleistungen zu verpflichten ist.</w:t>
      </w:r>
    </w:p>
    <w:p>
      <w:r>
        <w:rPr>
          <w:b/>
        </w:rPr>
        <w:t>E. 7</w:t>
      </w:r>
    </w:p>
    <w:p>
      <w:r>
        <w:t>Im Sinn der vorstehenden Erwägungen ist die Klage abzuweisen. Gerichtskosten sind keine zu erheben (Art. 61 lit. a ATSG).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